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EF" w:rsidRDefault="00B955AA">
      <w:pPr>
        <w:spacing w:before="720"/>
        <w:jc w:val="center"/>
      </w:pPr>
      <w:r>
        <w:rPr>
          <w:rFonts w:ascii="Calibri" w:hAnsi="Calibri"/>
          <w:b/>
          <w:color w:val="4A5A8A"/>
        </w:rPr>
        <w:t>CONFIDENTIAL INVESTOR BUSINESS PLAN</w:t>
      </w:r>
    </w:p>
    <w:p w:rsidR="003423EF" w:rsidRDefault="00B955AA">
      <w:pPr>
        <w:spacing w:after="120"/>
        <w:jc w:val="center"/>
      </w:pPr>
      <w:r>
        <w:rPr>
          <w:rFonts w:ascii="Calibri" w:hAnsi="Calibri"/>
          <w:b/>
          <w:color w:val="1E2761"/>
          <w:sz w:val="72"/>
        </w:rPr>
        <w:t>FairBid Inc.</w:t>
      </w:r>
    </w:p>
    <w:p w:rsidR="003423EF" w:rsidRDefault="00B955AA">
      <w:pPr>
        <w:spacing w:after="120"/>
        <w:jc w:val="center"/>
      </w:pPr>
      <w:r>
        <w:rPr>
          <w:rFonts w:ascii="Calibri" w:hAnsi="Calibri"/>
          <w:i/>
          <w:color w:val="2D3A70"/>
          <w:sz w:val="32"/>
        </w:rPr>
        <w:t>The Next Generation of Market Infrastructure</w:t>
      </w:r>
    </w:p>
    <w:p w:rsidR="003423EF" w:rsidRDefault="00B955AA">
      <w:pPr>
        <w:spacing w:after="600"/>
        <w:jc w:val="center"/>
      </w:pPr>
      <w:r>
        <w:rPr>
          <w:rFonts w:ascii="Calibri" w:hAnsi="Calibri"/>
          <w:color w:val="4A5A8A"/>
        </w:rPr>
        <w:t>Direct Fractional Auctions · Batch Prediction Auctions · Batch Double Auctions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6185"/>
      </w:tblGrid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3423EF"/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3423EF">
            <w:pPr>
              <w:jc w:val="center"/>
            </w:pP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Raise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$2.5M Seed Round (SAFE / Equity)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Stage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Pre-revenue, working prototype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Target Investors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Fintech VC · Quant-focused funds · Market structure specialists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Document Version</w:t>
            </w:r>
          </w:p>
        </w:tc>
        <w:tc>
          <w:tcPr>
            <w:tcW w:w="61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v2.0 — April 2026</w:t>
            </w:r>
          </w:p>
        </w:tc>
      </w:tr>
    </w:tbl>
    <w:p w:rsidR="003423EF" w:rsidRDefault="003423EF"/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1. Executive Summary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FairBid Inc. is building the infrastructure layer for the next generation of Real World Asset (RWA) markets. Three original, mathematically rigorous mechanisms — each independently valuable, collectively transformative — address the full lifecycle of tokenized asset markets: primary auction, secondary trading, and decentralized price discovery.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three mechanisms form a natural sequence. DFA (Direct Fractional Auction) is the primary market: an Emergent Coalition Auction where the winning group is not pre-arranged but forms organically through the bidding process itself — no prior coordination, no collusion, just market-discovered coalitions. BDA (Batch Double Auction) is the secondary market built for DFA winners: it gives them a venue to trade their tokens, with the unique property of Double Truthfulness — both buyers and sellers simultaneously have dominant strategies to reveal true values. BPA (Batch Prediction Auction) is the price discovery layer: a parimutuel mechanism where forecasters build verified on-chain reputations through Proof of Intelligence (PoI) NFTs. Together, they deliver what no existing platform provides: a complete, incentive-compatible RWA market infrastructure.</w:t>
      </w:r>
    </w:p>
    <w:p w:rsidR="003423EF" w:rsidRDefault="00B955AA">
      <w:pPr>
        <w:pStyle w:val="Heading2"/>
        <w:spacing w:before="240" w:after="80"/>
      </w:pPr>
      <w:bookmarkStart w:id="0" w:name="_GoBack"/>
      <w:r>
        <w:rPr>
          <w:rFonts w:ascii="Calibri" w:hAnsi="Calibri"/>
          <w:color w:val="2D3A70"/>
        </w:rPr>
        <w:t>Key Highlights</w:t>
      </w:r>
    </w:p>
    <w:bookmarkEnd w:id="0"/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DFA — Emergent Coalition Auction: the winning group forms organically through bidding, with no pre-arrangement. First auction mechanism of its kind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BDA — secondary market for DFA: gives token holders a venue to trade, with Double Truthfulness — both buyers and sellers reveal true values simultaneously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BPA + PoI — Proof of Intelligence: play-money prediction market where forecasters earn verified on-chain reputation NFTs. Free, regulatory-safe, NFT-monetized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RWA infrastructure: all three mechanisms address Real World Asset tokenization — the fastest-growing segment in blockchain finance ($20B+ on-chain, 2024)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Working prototype: DFA, BDA and BPA implemented in Python/Flask. Three live platforms: fairbidlab.com · getdfa.com · getbpa.com. Seeking $2.5M seed round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2. The Problem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Prediction markets have long been recognized as powerful information aggregation tools. Yet despite a decade of growth, market infrastructure has not kept pace with theoretical advances in mechanism design. Four fundamental problems persist: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2.1  CLOB is the Wrong Mechanism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Every major prediction market — Polymarket, Kalshi, Augur — uses a Continuous Limit Order Book. CLOB was designed for highly liquid, continuously traded securities. For prediction markets, where many events are one-time or illiquid, CLOB creates wide spreads, poor price discovery, and susceptibility to manipulation. The correct mechanism for illiquid event markets is parimutuel: all bets are pooled and prices are determined by the aggregate distribution of wagers, eliminating the liquidity problem entirely.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However, parimutuel mechanisms with multiple outcomes and budget-constrained traders involve the Batch-Baron-Lange fixed-point problem that prior implementations approximated rather than solved exactly. FairBid Inc. solves it exactly via a bisection reduction — an original theoretical contribution.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2.2  No Incentive Compatibility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On Polymarket and Kalshi, there is no formal guarantee that a trader's optimal strategy is to bid their true belief. Sophisticated participants exploit price impact, timing, and order flow information. This degrades the information content of prices — the primary social value of prediction markets.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2.3  Fragmented Market Lifecycle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No existing platform provides a coherent mechanism for the full event contract lifecycle: initial price discovery (primary market), parimutuel prediction pool, secondary trading, and final settlement. Each stage is handled by ad-hoc systems, creating information gaps, arbitrage inefficiencies, and operational risk.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2.4  No Cryptographic Accountability for Forecasters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Futarchy — governance by prediction market — has been proposed for decades but never implemented successfully. The core flaw: without a cryptographically tamper-proof and publicly auditable track record, there is no principled way to weight forecasters. FairBid Inc. is designed from the ground up to support blockchain-based 'Proof of Intelligence' — NFT-anchored records that make Futarchy implementable.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3. Product Description &amp; Mechanisms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FairBid Inc. consists of three mechanisms that form a complete RWA market infrastructure. DFA handles primary issuance, BDA enables secondary trading, and BPA provides continuous price discovery. Each is independently valuable; together they are uniquely powerful.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3.1  BPA — Batch Prediction Auction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Mechanism Overview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BPA is a parimutuel prediction market supporting N outcomes. Participants submit bets on any outcome. After the batch closes, the system solves for a unique equilibrium price vector using a bisection algorithm on a single scalar equation — a reduction of the Batch-Baron-Lange fixed-point problem.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Key Properties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Truthfulness: submitting true beliefs is a Nash equilibrium in the continuum limit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Budget balance: the house always breaks even regardless of outcome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Theta-player self-financing: a synthetic participant absorbs residual imbalance, funded by the break-even constraint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N-outcome support: the bisection reduction works for arbitrary N, unlike prior binary-only implementations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Auto-clearing: background thread monitors market state and triggers settlement automatically upon event resolution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Technical Implementation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Python/Flask backend with SQLite (development) / PostgreSQL (production). Key database tables: bets, redemption_orders, theta_orders, limit_sell_orders, settings, markets. Bisection convergence is guaranteed by the strict monotonicity of the reduced scalar function.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3.2  DFA — Direct Fractional Auction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Mechanism Overview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DFA is the primary market for tokenized asset issuance — an Emergent Coalition Auction. Unlike traditional auctions where a single winner takes all, DFA identifies a group of compatible bidders whose collective bids satisfy the clearing condition. Crucially, this group is not pre-arranged: participants bid independently, and the market algorithm discovers the winning coalition organically. There is no coordination, no collusion — the group emerges from the price mechanism itself. All bids are collected and cleared in a single batch, preventing front-running.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Key Properties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Batch clearing: all bids processed simultaneously, eliminating sequential order advantage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Dominant strategy truthfulness: under single-crossing conditions, truthful bidding is a dominant strategy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Price discovery: DFA clearing price serves as the opening price for the subsequent BPA or BDA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Package bids: accommodates complementarity, addressing the exposure problem of sequential auctions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lastRenderedPageBreak/>
        <w:t>3.3  BDA — Batch Double Auction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Mechanism Overview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BDA is the secondary market purpose-built to serve DFA winners. After a DFA auction closes, winning coalition members hold tokens they may wish to trade — BDA provides the venue. It can also operate autonomously for any tokenized asset. BDA clears in batches at discrete intervals, determining a single uniform clearing price that maximizes volume.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Double Truthfulness — Core Innovation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BDA's most significant theoretical contribution is Double Truthfulness: both buyers and sellers have dominant strategies to submit their true values simultaneously. This is exceptional — in standard double auctions including VCG for bilateral trade, only one side is typically incentivized to be truthful. We achieve this by combining a uniform-price batch clearing rule with a carefully designed tie-breaking and subsidy mechanism.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Buyer truthfulness: bidding true value weakly dominates all other strategies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Seller truthfulness: asking true cost weakly dominates all other strategies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Collusion resistance: no coalition can jointly profit by misreporting, under mild cardinality conditions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Polynomial-time clearing: tractable at scale, unlike exponential VCG in multi-item settings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4. Market Opportunity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4.1  Total Addressable Market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2589"/>
        <w:gridCol w:w="3308"/>
      </w:tblGrid>
      <w:tr w:rsidR="003423EF">
        <w:tc>
          <w:tcPr>
            <w:tcW w:w="31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Segment</w:t>
            </w:r>
          </w:p>
        </w:tc>
        <w:tc>
          <w:tcPr>
            <w:tcW w:w="259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Size</w:t>
            </w:r>
          </w:p>
        </w:tc>
        <w:tc>
          <w:tcPr>
            <w:tcW w:w="331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Basis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Prediction Markets (global)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$12B+ annual volume (2024)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Polymarket, Kalshi, PredictIt combined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Institutional Event Derivatives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$85B+ notional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Political risk, weather, macro event contracts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Corporate &amp; Government FairBid Inc.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$80B+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Spectrum, procurement, emission permits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Total TAM</w:t>
            </w:r>
          </w:p>
        </w:tc>
        <w:tc>
          <w:tcPr>
            <w:tcW w:w="259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$180B+</w:t>
            </w:r>
          </w:p>
        </w:tc>
        <w:tc>
          <w:tcPr>
            <w:tcW w:w="331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Conservative; growing 35–40% YoY</w:t>
            </w:r>
          </w:p>
        </w:tc>
      </w:tr>
    </w:tbl>
    <w:p w:rsidR="003423EF" w:rsidRDefault="003423EF"/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4.2  Serviceable Addressable Market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SAM focuses on the subset accessible via institutional partnerships and regulated platforms in the US and EU: approximately $28B, representing platforms that have existing regulatory standing and could white-label the FairBid Inc. mechanism layer.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4.3  Serviceable Obtainable Market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SOM in the first three years: $2.4B, targeting fintech startups building prediction market products, two to three institutional auction platforms, and DAO/DeFi governance platforms exploring Futarchy-adjacent applications.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4.4  Growth Drivers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Regulatory clarity: CFTC's 2024 guidance on event contracts opened the door for institutional products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Fintech investment: prediction market infrastructure attracted $800M+ in VC in 2023–2024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AI and forecasting: LLM-assisted forecasting creates demand for better prediction aggregation infrastructure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Blockchain: DeFi protocols actively seeking mechanism-design-sound primitives for on-chain governance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5. Competitive Landscape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5.1  Direct Competitors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1"/>
        <w:gridCol w:w="2657"/>
        <w:gridCol w:w="1382"/>
        <w:gridCol w:w="1355"/>
        <w:gridCol w:w="1637"/>
      </w:tblGrid>
      <w:tr w:rsidR="003423EF">
        <w:tc>
          <w:tcPr>
            <w:tcW w:w="216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Platform</w:t>
            </w:r>
          </w:p>
        </w:tc>
        <w:tc>
          <w:tcPr>
            <w:tcW w:w="288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Mechanism</w:t>
            </w:r>
          </w:p>
        </w:tc>
        <w:tc>
          <w:tcPr>
            <w:tcW w:w="144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Truthful?</w:t>
            </w:r>
          </w:p>
        </w:tc>
        <w:tc>
          <w:tcPr>
            <w:tcW w:w="144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Batch?</w:t>
            </w:r>
          </w:p>
        </w:tc>
        <w:tc>
          <w:tcPr>
            <w:tcW w:w="172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Full Lifecycle?</w:t>
            </w:r>
          </w:p>
        </w:tc>
      </w:tr>
      <w:tr w:rsidR="003423EF">
        <w:tc>
          <w:tcPr>
            <w:tcW w:w="216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Polymarket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CLOB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7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</w:tr>
      <w:tr w:rsidR="003423EF">
        <w:tc>
          <w:tcPr>
            <w:tcW w:w="216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Kalshi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CLOB (partial batch)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Partial</w:t>
            </w:r>
          </w:p>
        </w:tc>
        <w:tc>
          <w:tcPr>
            <w:tcW w:w="17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</w:tr>
      <w:tr w:rsidR="003423EF">
        <w:tc>
          <w:tcPr>
            <w:tcW w:w="216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Augur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CLOB / Pari hybrid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7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</w:tr>
      <w:tr w:rsidR="003423EF">
        <w:tc>
          <w:tcPr>
            <w:tcW w:w="216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Manifold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Play-money CLOB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7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</w:tr>
      <w:tr w:rsidR="003423EF">
        <w:tc>
          <w:tcPr>
            <w:tcW w:w="216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FairBid Inc.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BPA / DFA / BDA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  <w:tc>
          <w:tcPr>
            <w:tcW w:w="172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</w:tr>
    </w:tbl>
    <w:p w:rsidR="003423EF" w:rsidRDefault="003423EF"/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5.2  Competitive Moat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FairBid Inc.'s moat is primarily intellectual and technical. The bisection reduction for BPA and the Double Truthfulness proof for BDA are original academic contributions — we are targeting publication in Games and Economic Behavior and similar peer-reviewed journals. Once published and cited, these become the canonical references for this class of mechanisms, making FairBid Inc. the natural implementation platform.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Secondary moats: regulatory relationships (built during beta), network effects (each additional market improves liquidity in adjacent markets), and switching costs (retraining users and operators after platform integration is costly).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6. Business Model &amp; Monetization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6.1  Revenue Streams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Stream 1: Transaction Fees (Primary)</w:t>
      </w:r>
    </w:p>
    <w:p w:rsidR="003423EF" w:rsidRDefault="000523C0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DFA pools: 0.5–2.0% fee on total pool volume, collected at settlement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BDA volume: 0.3–1.0% on gross notional traded</w:t>
      </w:r>
    </w:p>
    <w:p w:rsidR="003423EF" w:rsidRDefault="000523C0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BPA issuance: flat fee per event auction, scaled to contracts issued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i/>
          <w:color w:val="4A5A8A"/>
        </w:rPr>
        <w:t>Transaction fees are the primary near-term revenue driver and are consistent with industry norms (Kalshi charges 10% of winnings; Polymarket charges 2% of profits).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Stream 2: Platform Licensing (Medium-term)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White-label licensing: fintech companies and prediction market operators pay monthly SaaS fees to run the FairBid Inc. mechanism stack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API access: developers pay per-call pricing for pricing, settlement, and clearing APIs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Target: 5 licensing deals by Year 3, at $120K–$500K ARR each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Stream 3: Data &amp; Analytics (Long-term)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Historical clearing data: institutional research customers pay for cleaned auction outcome datasets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Real-time feeds: Bloomberg/Refinitiv-style terminal integration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Custom reports: analytical reports for regulatory and policy clients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6.2  Unit Economics (Year 3 Targets)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2014"/>
        <w:gridCol w:w="3884"/>
      </w:tblGrid>
      <w:tr w:rsidR="003423EF">
        <w:tc>
          <w:tcPr>
            <w:tcW w:w="31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w="2016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Value</w:t>
            </w:r>
          </w:p>
        </w:tc>
        <w:tc>
          <w:tcPr>
            <w:tcW w:w="388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Notes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Annual Platform Volume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$80M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Conservative; comparable to early Kalshi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Blended Take Rate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~1.2%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Mix of BPA, BDA, DFA fees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Transaction Revenue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$960K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Primary fee stream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Licensing Revenue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$400K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3–4 platform customers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Total Revenue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~$1.4M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Combined streams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Gross Margin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64%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Infrastructure costs declining as volume scales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EBITDA</w:t>
            </w:r>
          </w:p>
        </w:tc>
        <w:tc>
          <w:tcPr>
            <w:tcW w:w="201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-$400K</w:t>
            </w:r>
          </w:p>
        </w:tc>
        <w:tc>
          <w:tcPr>
            <w:tcW w:w="388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Still investing; positive cash flow in Year 4</w:t>
            </w:r>
          </w:p>
        </w:tc>
      </w:tr>
    </w:tbl>
    <w:p w:rsidR="003423EF" w:rsidRDefault="003423EF"/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7. Financial Projections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7.1  Five-Year Projections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1282"/>
        <w:gridCol w:w="1282"/>
        <w:gridCol w:w="1282"/>
        <w:gridCol w:w="1296"/>
        <w:gridCol w:w="1296"/>
      </w:tblGrid>
      <w:tr w:rsidR="003423EF">
        <w:tc>
          <w:tcPr>
            <w:tcW w:w="288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Metric</w:t>
            </w:r>
          </w:p>
        </w:tc>
        <w:tc>
          <w:tcPr>
            <w:tcW w:w="13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1</w:t>
            </w:r>
          </w:p>
        </w:tc>
        <w:tc>
          <w:tcPr>
            <w:tcW w:w="13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2</w:t>
            </w:r>
          </w:p>
        </w:tc>
        <w:tc>
          <w:tcPr>
            <w:tcW w:w="13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3</w:t>
            </w:r>
          </w:p>
        </w:tc>
        <w:tc>
          <w:tcPr>
            <w:tcW w:w="13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4</w:t>
            </w:r>
          </w:p>
        </w:tc>
        <w:tc>
          <w:tcPr>
            <w:tcW w:w="13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5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Platform Volume ($M)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$18M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$80M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$220M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$500M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Total Revenue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$180K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$3.2M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$7.0M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Operating Expenses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$1.6M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$1.8M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$2.4M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$3.6M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EBITDA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-$1.4M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-$1.4M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-$0.4M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+$0.8M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+$3.4M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Gross Margin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55%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64%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70%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72%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Cumul. Users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500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3,500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12,000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35,000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Platform Licenses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—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3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8</w:t>
            </w:r>
          </w:p>
        </w:tc>
        <w:tc>
          <w:tcPr>
            <w:tcW w:w="13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18</w:t>
            </w:r>
          </w:p>
        </w:tc>
      </w:tr>
    </w:tbl>
    <w:p w:rsidR="003423EF" w:rsidRDefault="003423EF"/>
    <w:p w:rsidR="003423EF" w:rsidRDefault="00B955AA">
      <w:pPr>
        <w:spacing w:before="40" w:after="120"/>
        <w:jc w:val="both"/>
      </w:pPr>
      <w:r>
        <w:rPr>
          <w:rFonts w:ascii="Calibri" w:hAnsi="Calibri"/>
          <w:i/>
          <w:color w:val="4A5A8A"/>
        </w:rPr>
        <w:t>Projections are benchmarked against Kalshi (2020–2023) and Manifold Markets (2022–2024). Conservative scenario shown. Break-even targeted in Year 4. Series A ($8–12M) assumed in Year 3, not reflected in these figures.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7.2  Key Assumptions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Platform volume 4× from Year 2 to Year 3, driven by 2–3 institutional licensing customers going live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Take rate declines from ~1.5% to ~1.2% as volume grows and competition increases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Operating expenses grow modestly post-Year 2 as headcount stabilizes; infrastructure scales sub-linearly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No material regulatory fine or enforcement action — baseline assumption given proactive CFTC engagement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Series A raise of $8–12M in Year 3, not reflected in projections above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7.3  Sensitivity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1"/>
        <w:gridCol w:w="2158"/>
        <w:gridCol w:w="2302"/>
        <w:gridCol w:w="2301"/>
      </w:tblGrid>
      <w:tr w:rsidR="003423EF">
        <w:tc>
          <w:tcPr>
            <w:tcW w:w="230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Scenario</w:t>
            </w:r>
          </w:p>
        </w:tc>
        <w:tc>
          <w:tcPr>
            <w:tcW w:w="216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3 Volume</w:t>
            </w:r>
          </w:p>
        </w:tc>
        <w:tc>
          <w:tcPr>
            <w:tcW w:w="230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Year 3 Revenue</w:t>
            </w:r>
          </w:p>
        </w:tc>
        <w:tc>
          <w:tcPr>
            <w:tcW w:w="230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Break-even Year</w:t>
            </w:r>
          </w:p>
        </w:tc>
      </w:tr>
      <w:tr w:rsidR="003423EF">
        <w:tc>
          <w:tcPr>
            <w:tcW w:w="230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Bear (50% of base)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$40M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$700K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Year 5+</w:t>
            </w:r>
          </w:p>
        </w:tc>
      </w:tr>
      <w:tr w:rsidR="003423EF">
        <w:tc>
          <w:tcPr>
            <w:tcW w:w="230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Base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$80M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$1.4M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Year 4</w:t>
            </w:r>
          </w:p>
        </w:tc>
      </w:tr>
      <w:tr w:rsidR="003423EF">
        <w:tc>
          <w:tcPr>
            <w:tcW w:w="230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Bull (2× base)</w:t>
            </w:r>
          </w:p>
        </w:tc>
        <w:tc>
          <w:tcPr>
            <w:tcW w:w="216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$160M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$2.6M</w:t>
            </w:r>
          </w:p>
        </w:tc>
        <w:tc>
          <w:tcPr>
            <w:tcW w:w="23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Year 3</w:t>
            </w:r>
          </w:p>
        </w:tc>
      </w:tr>
    </w:tbl>
    <w:p w:rsidR="003423EF" w:rsidRDefault="003423EF"/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8. The Ask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8.1  Fundraising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5897"/>
      </w:tblGrid>
      <w:tr w:rsidR="003423EF">
        <w:tc>
          <w:tcPr>
            <w:tcW w:w="31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Item</w:t>
            </w:r>
          </w:p>
        </w:tc>
        <w:tc>
          <w:tcPr>
            <w:tcW w:w="590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Detail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Raise Amount</w:t>
            </w:r>
          </w:p>
        </w:tc>
        <w:tc>
          <w:tcPr>
            <w:tcW w:w="59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$2.5M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Structure</w:t>
            </w:r>
          </w:p>
        </w:tc>
        <w:tc>
          <w:tcPr>
            <w:tcW w:w="59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SAFE (post-money cap) or Priced Seed Round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Valuation Cap</w:t>
            </w:r>
          </w:p>
        </w:tc>
        <w:tc>
          <w:tcPr>
            <w:tcW w:w="59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$12M (indicative)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Target Close</w:t>
            </w:r>
          </w:p>
        </w:tc>
        <w:tc>
          <w:tcPr>
            <w:tcW w:w="59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Q3 2025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Series A Trigger</w:t>
            </w:r>
          </w:p>
        </w:tc>
        <w:tc>
          <w:tcPr>
            <w:tcW w:w="590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5 licensing customers or $1M ARR, whichever first</w:t>
            </w:r>
          </w:p>
        </w:tc>
      </w:tr>
    </w:tbl>
    <w:p w:rsidR="003423EF" w:rsidRDefault="003423EF"/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8.2  Use of Funds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295"/>
        <w:gridCol w:w="863"/>
        <w:gridCol w:w="4026"/>
      </w:tblGrid>
      <w:tr w:rsidR="003423EF">
        <w:tc>
          <w:tcPr>
            <w:tcW w:w="288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Category</w:t>
            </w:r>
          </w:p>
        </w:tc>
        <w:tc>
          <w:tcPr>
            <w:tcW w:w="1296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Amount</w:t>
            </w:r>
          </w:p>
        </w:tc>
        <w:tc>
          <w:tcPr>
            <w:tcW w:w="86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%</w:t>
            </w:r>
          </w:p>
        </w:tc>
        <w:tc>
          <w:tcPr>
            <w:tcW w:w="403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Key Activities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Engineering &amp; Platform Dev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$1.1M</w:t>
            </w:r>
          </w:p>
        </w:tc>
        <w:tc>
          <w:tcPr>
            <w:tcW w:w="8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45%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Full-stack engineers (×2), DevOps, security audit, blockchain integration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Regulatory &amp; Legal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$0.6M</w:t>
            </w:r>
          </w:p>
        </w:tc>
        <w:tc>
          <w:tcPr>
            <w:tcW w:w="8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25%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CFTC no-action letter, EU MiCA compliance, IP protection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Sales &amp; Marketing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$0.5M</w:t>
            </w:r>
          </w:p>
        </w:tc>
        <w:tc>
          <w:tcPr>
            <w:tcW w:w="8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20%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BD for licensing, conference presence, academic publication</w:t>
            </w:r>
          </w:p>
        </w:tc>
      </w:tr>
      <w:tr w:rsidR="003423EF">
        <w:tc>
          <w:tcPr>
            <w:tcW w:w="2880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Operations &amp; Infrastructure</w:t>
            </w:r>
          </w:p>
        </w:tc>
        <w:tc>
          <w:tcPr>
            <w:tcW w:w="12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$0.25M</w:t>
            </w:r>
          </w:p>
        </w:tc>
        <w:tc>
          <w:tcPr>
            <w:tcW w:w="86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10%</w:t>
            </w:r>
          </w:p>
        </w:tc>
        <w:tc>
          <w:tcPr>
            <w:tcW w:w="403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Cloud infra, legal entity, accounting, insurance</w:t>
            </w:r>
          </w:p>
        </w:tc>
      </w:tr>
    </w:tbl>
    <w:p w:rsidR="003423EF" w:rsidRDefault="003423EF"/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8.3  18-Month Milestones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4315"/>
        <w:gridCol w:w="3165"/>
      </w:tblGrid>
      <w:tr w:rsidR="003423EF">
        <w:tc>
          <w:tcPr>
            <w:tcW w:w="158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Quarter</w:t>
            </w:r>
          </w:p>
        </w:tc>
        <w:tc>
          <w:tcPr>
            <w:tcW w:w="432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Milestone</w:t>
            </w:r>
          </w:p>
        </w:tc>
        <w:tc>
          <w:tcPr>
            <w:tcW w:w="31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Success Metric</w:t>
            </w:r>
          </w:p>
        </w:tc>
      </w:tr>
      <w:tr w:rsidR="003423EF">
        <w:tc>
          <w:tcPr>
            <w:tcW w:w="158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Q1–Q2 2025</w:t>
            </w:r>
          </w:p>
        </w:tc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BPA + DFA beta launch; 50 institutional pilot users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50 active users; 10 markets cleared</w:t>
            </w:r>
          </w:p>
        </w:tc>
      </w:tr>
      <w:tr w:rsidR="003423EF">
        <w:tc>
          <w:tcPr>
            <w:tcW w:w="158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Q3 2025</w:t>
            </w:r>
          </w:p>
        </w:tc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BDA secondary market live; first transaction revenue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First $10K in transaction fees</w:t>
            </w:r>
          </w:p>
        </w:tc>
      </w:tr>
      <w:tr w:rsidR="003423EF">
        <w:tc>
          <w:tcPr>
            <w:tcW w:w="158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Q4 2025</w:t>
            </w:r>
          </w:p>
        </w:tc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Blockchain settlement layer; CFTC no-action letter filed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Regulatory filing submitted</w:t>
            </w:r>
          </w:p>
        </w:tc>
      </w:tr>
      <w:tr w:rsidR="003423EF">
        <w:tc>
          <w:tcPr>
            <w:tcW w:w="158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Q1 2026</w:t>
            </w:r>
          </w:p>
        </w:tc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First platform licensing deal signed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1 paying license customer</w:t>
            </w:r>
          </w:p>
        </w:tc>
      </w:tr>
      <w:tr w:rsidR="003423EF">
        <w:tc>
          <w:tcPr>
            <w:tcW w:w="1584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Q2 2026</w:t>
            </w:r>
          </w:p>
        </w:tc>
        <w:tc>
          <w:tcPr>
            <w:tcW w:w="432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Series A readiness; 5 licensing customers in pipeline</w:t>
            </w:r>
          </w:p>
        </w:tc>
        <w:tc>
          <w:tcPr>
            <w:tcW w:w="316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$500K ARR pipeline</w:t>
            </w:r>
          </w:p>
        </w:tc>
      </w:tr>
    </w:tbl>
    <w:p w:rsidR="003423EF" w:rsidRDefault="003423EF"/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9. Prediction Markets × Real-World Assets (RWA)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Real-World Asset (RWA) tokenization is the fastest-growing segment in blockchain finance: over $20 billion in tokenized assets were on-chain by end of 2024, growing at 60%+ annually. FairBid Inc. is architecturally positioned at the intersection of prediction markets and RWA — two sectors that are structurally convergent, not merely adjacent.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9.1  Shared Tokenization Architecture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conceptual parallel between RWA tokens and prediction market tokens is precise and deep. Both are tokenized contingent claims: instruments whose value depends on a future state of the world. An RWA token grants a conditional right to a real asset — a share of rental income from a property, a fraction of a corporate bond's cash flows, a claim on a commodity vault. A prediction market token grants a conditional right contingent on an event outcome — a payoff if candidate A wins, if inflation exceeds 4%, if a merger closes. The mathematical structure is identical: both are Arrow-Debreu securities, contingent claims in the sense of general equilibrium theory.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This structural identity has a practical consequence: the same mechanism infrastructure that makes prediction markets efficient — batch clearing, incentive-compatible pricing, verified settlement — is exactly what the RWA market currently lacks. Most RWA platforms today handle tokenization (the issuance side) but have no rigorous solution for price discovery or secondary market liquidity.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9.2  BPA as RWA Price Discovery Engine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Most tokenized real-world assets have no liquid secondary market. Valuation is subjective, infrequent, and opaque — relying on periodic appraisals, comparable sales, or model-based estimates that are neither transparent nor manipulation-resistant.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BPA provides a solution: a decentralized, parimutuel mechanism to aggregate distributed beliefs about an asset's fair value without requiring a continuous order book or deep liquidity pool. Because BPA's equilibrium pricing is mathematically guaranteed to reflect the aggregate information of all participants, it produces price signals that are both manipulation-resistant and credible to institutional buyers.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Example 1: A prediction market on 'Will commercial real estate in NYC fall &gt;15% by Dec 2026?' gives institutional RWA holders a real-time hedge price and a market-implied valuation signal.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Example 2: A prediction market on 'Will this tokenized private credit fund default within 24 months?' provides a decentralized credit rating — one that cannot be manipulated by the issuer.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Example 3: Prediction markets on regulatory events ('Will the SEC approve spot Ethereum ETF by Q3?') directly price the regulatory risk embedded in crypto-linked RWA.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9.3  Strategic Positioning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 xml:space="preserve">The RWA market today is dominated by tokenization platforms (Securitize, Centrifuge, Maple Finance) that solve the issuance problem but leave price discovery and secondary liquidity unsolved. FairBid Inc. </w:t>
        <w:lastRenderedPageBreak/>
        <w:t>does not compete with these platforms — it complements them, providing the pricing and settlement layer that sits on top of any tokenized asset. This positions FairBid Inc. as infrastructure for the entire RWA ecosystem, not merely a prediction market application.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10. Proof of Intelligence (PoI) — On-Chain Reputation Economy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regulatory path for real-money prediction markets in the US remains complex. Rather than treating this as a constraint, FairBid Inc. converts it into a strategic advantage through a two-phase go-to-market that builds the most defensible moat in the space: a cryptographically verified on-chain reputation economy.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10.1  Phase 1: Free-to-Play, NFT-Monetized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BPA launches as a completely free platform — no real money, no financial bets, zero exposure to gambling or securities regulation. Participants predict using play-money tokens. The game is purely epistemic: make accurate predictions, build your track record, earn your reputation.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Monetization in Phase 1 comes entirely from NFT sales. Every prediction batch is minted as a Proof of Intelligence (PoI) NFT: a dynamic, on-chain document containing the participant's complete prediction log — every prediction made, with timestamps, stated confidence levels, resolution dates, and outcomes. The NFT is cryptographically signed by the platform, making it unforgeable and publicly auditable.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What a PoI NFT Contains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Unique on-chain identifier linked to a verified platform account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Aggregate accuracy score, calibration rating, domain-specific scores, total predictions made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Complete append-only prediction log: every prediction, timestamped, with stated probability and resolution outcome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Platform cryptographic signature: mathematically unforgeable attestation that these predictions were made at these times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Dynamic updating: NFT updates after every resolution — it is a living document, not a static snapshot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10.2  PoI as the Solution to Futarchy's Achilles Heel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Robin Hanson's Futarchy — governance by prediction market — has a fundamental vulnerability: in markets denominated in money, capital substitutes for intelligence. A wealthy actor can simply purchase the outcome they desire, regardless of their forecasting ability. This is why Futarchy has never been implemented at scale despite decades of academic interest.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PoI resolves this at the architectural level. In a PoI-weighted governance system, influence is proportional to verified accuracy — not to capital. There is no amount of money that can purchase two years of accurate predictions. The barrier to epistemic authority is time and demonstrated performance, not wealth.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Weight of voice: proportional to verified accuracy score, not financial position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Manipulation resistance: time and performance, not capital cost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lastRenderedPageBreak/>
        <w:t>Self-destroying manipulator: a bad-faith actor who uses purchased authority degrades their own NFT score within weeks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10.3  The On-Chain Reputation Economy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PoI NFT creates an entirely new economic primitive: verified epistemic authority as a tradeable, transferable, but unforgeable asset. This opens multiple value capture mechanisms that have no analog in existing prediction market platforms: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Career credential: PoI NFT functions as a professional credential for forecasters, analysts, and researchers — a verifiable, auditable CV that demonstrates domain expertise through prediction track record, not institutional affiliation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Copy-trading access: high-reputation forecasters unlock paid copy-trading subscriptions — followers pay to mirror the positions of verified superforecasters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DAO governance: PoI-weighted voting in DAOs replaces capital-weighted voting, attracting governance-focused DeFi protocols as platform partners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Premium API access: institutional clients pay for real-time feeds of aggregated high-accuracy predictions, weighted by PoI score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Secondary NFT market: the platform earns a percentage on every secondary sale of PoI NFTs, creating ongoing royalty revenue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10.4  Regulatory Architecture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free-to-play structure is not a compromise — it is a principled design choice. As argued in the academic paper 'From Oracle to Algorithm: Proof of Intelligence as a Foundation for Epistemic Governance' (co-authored by the founding team), a prediction market without monetary stakes falls outside the regulatory categories that govern gambling and financial markets. The PoI platform is, from a regulatory standpoint, closer to a chess rating system than to a futures exchange.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Howey Test — the US standard for determining whether an instrument is a security — requires that value derive 'predominantly from the efforts of others.' A PoI NFT's value derives exclusively from the credential holder's own predictions. It fails the Howey Test at its most fundamental criterion, placing it outside SEC jurisdiction. This is not a loophole: it reflects the philosophical core of the PoI system, in which epistemic authority is irreducibly individual and cannot be pooled or securitized.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11. Team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FairBid Inc. was founded by a researcher with deep expertise in mechanism design, prediction markets, and quantitative finance. The founding team combines original theoretical contributions — the BPA bisection reduction and the BDA double truthfulness proof — with practical implementation experience in the form of a working Flask prototype and submitted academic papers.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Advisors Sought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Mechanism design academic (target: faculty at a top-10 economics department)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Fintech regulatory counsel with CFTC/FCA experience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CTO with distributed systems and financial infrastructure background</w:t>
      </w:r>
    </w:p>
    <w:p w:rsidR="003423EF" w:rsidRDefault="00B955AA">
      <w:pPr>
        <w:pStyle w:val="ListBullet"/>
        <w:spacing w:after="60"/>
        <w:ind w:left="432"/>
      </w:pPr>
      <w:r>
        <w:rPr>
          <w:rFonts w:ascii="Calibri" w:hAnsi="Calibri"/>
          <w:color w:val="1A1A2E"/>
        </w:rPr>
        <w:t>Go-to-market advisor with existing prediction market operator relationships</w:t>
      </w:r>
    </w:p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12. Risk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3"/>
        <w:gridCol w:w="1152"/>
        <w:gridCol w:w="1008"/>
        <w:gridCol w:w="3739"/>
      </w:tblGrid>
      <w:tr w:rsidR="003423EF">
        <w:tc>
          <w:tcPr>
            <w:tcW w:w="316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Risk</w:t>
            </w:r>
          </w:p>
        </w:tc>
        <w:tc>
          <w:tcPr>
            <w:tcW w:w="115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Likelihood</w:t>
            </w:r>
          </w:p>
        </w:tc>
        <w:tc>
          <w:tcPr>
            <w:tcW w:w="1008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Impact</w:t>
            </w:r>
          </w:p>
        </w:tc>
        <w:tc>
          <w:tcPr>
            <w:tcW w:w="3744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Mitigation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Regulatory restriction on prediction markets (US)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High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Proactive CFTC engagement; EU-first launch option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Larger platform copies BPA/BDA mechanism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Academic publication establishes priority; patent filings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Insufficient liquidity in early markets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High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Market-maker seeding; theta-player handles imbalance natively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Technical: bisection fails on degenerate inputs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Low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High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Extensive test suite; fallback to numerical solver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Key-person dependency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High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Accelerated hiring plan; full mechanism documentation</w:t>
            </w:r>
          </w:p>
        </w:tc>
      </w:tr>
      <w:tr w:rsidR="003423EF">
        <w:tc>
          <w:tcPr>
            <w:tcW w:w="3168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Prediction market winter (volume decline)</w:t>
            </w:r>
          </w:p>
        </w:tc>
        <w:tc>
          <w:tcPr>
            <w:tcW w:w="115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Low</w:t>
            </w:r>
          </w:p>
        </w:tc>
        <w:tc>
          <w:tcPr>
            <w:tcW w:w="1008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Medium</w:t>
            </w:r>
          </w:p>
        </w:tc>
        <w:tc>
          <w:tcPr>
            <w:tcW w:w="3744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Licensing model provides non-cyclical revenue stream</w:t>
            </w:r>
          </w:p>
        </w:tc>
      </w:tr>
    </w:tbl>
    <w:p w:rsidR="003423EF" w:rsidRDefault="003423EF"/>
    <w:p w:rsidR="003423EF" w:rsidRDefault="00B955AA">
      <w:r>
        <w:br w:type="page"/>
      </w:r>
    </w:p>
    <w:p w:rsidR="003423EF" w:rsidRDefault="00B955AA">
      <w:pPr>
        <w:pStyle w:val="Heading1"/>
        <w:pBdr>
          <w:bottom w:val="single" w:sz="6" w:space="4" w:color="4AC2F0"/>
        </w:pBdr>
        <w:spacing w:before="360" w:after="120"/>
      </w:pPr>
      <w:r>
        <w:rPr>
          <w:rFonts w:ascii="Calibri" w:hAnsi="Calibri"/>
          <w:color w:val="1E2761"/>
          <w:sz w:val="36"/>
        </w:rPr>
        <w:lastRenderedPageBreak/>
        <w:t>Appendix A: Mechanism Proofs (Summary)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A.1  BPA Bisection Reduction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The Batch-Baron-Lange model defines equilibrium as the fixed point of a mapping T: Δ^(N−1) → Δ^(N−1), where Δ^(N−1) is the probability simplex over N outcomes. Finding this fixed point directly requires solving a system of N−1 nonlinear equations. We show that T can be decomposed such that the equilibrium condition reduces to finding the zero of a single monotone scalar function f(θ): ℝ → ℝ. Because f is strictly monotone, it has at most one zero, and bisection converges in O(log(1/ε)) iterations to precision ε. This makes real-time clearing computationally feasible for any N.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A.2  BDA Double Truthfulness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Theorem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In the BDA mechanism with uniform clearing price p* = sup{p : D(p) ≥ S(p)}, where D(p) and S(p) are aggregate demand and supply at price p, each buyer i with true value v_i has a weakly dominant strategy to submit bid b_i = v_i, and each seller j with true cost c_j has a weakly dominant strategy to submit ask a_j = c_j.</w:t>
      </w:r>
    </w:p>
    <w:p w:rsidR="003423EF" w:rsidRDefault="00B955AA">
      <w:pPr>
        <w:spacing w:before="160" w:after="40"/>
      </w:pPr>
      <w:r>
        <w:rPr>
          <w:rFonts w:ascii="Calibri" w:hAnsi="Calibri"/>
          <w:b/>
          <w:color w:val="1A1A2E"/>
          <w:sz w:val="23"/>
        </w:rPr>
        <w:t>Proof Sketch (Buyers)</w:t>
      </w:r>
    </w:p>
    <w:p w:rsidR="003423EF" w:rsidRDefault="00B955AA">
      <w:pPr>
        <w:spacing w:before="40" w:after="120"/>
        <w:jc w:val="both"/>
      </w:pPr>
      <w:r>
        <w:rPr>
          <w:rFonts w:ascii="Calibri" w:hAnsi="Calibri"/>
          <w:color w:val="1A1A2E"/>
        </w:rPr>
        <w:t>If b_i &gt; p*, buyer i trades and receives surplus v_i − p* regardless of the exact value of b_i (as long as b_i &gt; p*). If b_i &lt; p*, buyer i does not trade. The threshold p* is determined by all other orders, not by b_i alone (except in a measure-zero case). Therefore, bidding v_i is weakly dominant: it guarantees trade whenever profitable (b_i = v_i &gt; p*) and non-participation whenever it would be costly (b_i = v_i &lt; p*). The symmetric argument holds for sellers. QED.</w:t>
      </w:r>
    </w:p>
    <w:p w:rsidR="003423EF" w:rsidRDefault="00B955AA">
      <w:pPr>
        <w:pStyle w:val="Heading2"/>
        <w:spacing w:before="240" w:after="80"/>
      </w:pPr>
      <w:r>
        <w:rPr>
          <w:rFonts w:ascii="Calibri" w:hAnsi="Calibri"/>
          <w:color w:val="2D3A70"/>
        </w:rPr>
        <w:t>A.3  Complexity Comparison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2828"/>
        <w:gridCol w:w="1843"/>
        <w:gridCol w:w="1842"/>
      </w:tblGrid>
      <w:tr w:rsidR="003423EF">
        <w:tc>
          <w:tcPr>
            <w:tcW w:w="259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FFFFFF"/>
                <w:sz w:val="20"/>
              </w:rPr>
              <w:t>Mechanism</w:t>
            </w:r>
          </w:p>
        </w:tc>
        <w:tc>
          <w:tcPr>
            <w:tcW w:w="2880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Clearing Complexity</w:t>
            </w:r>
          </w:p>
        </w:tc>
        <w:tc>
          <w:tcPr>
            <w:tcW w:w="187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Truthful (Buyers)</w:t>
            </w:r>
          </w:p>
        </w:tc>
        <w:tc>
          <w:tcPr>
            <w:tcW w:w="1872" w:type="dxa"/>
            <w:shd w:val="clear" w:color="auto" w:fill="1E2761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Truthful (Sellers)</w:t>
            </w:r>
          </w:p>
        </w:tc>
      </w:tr>
      <w:tr w:rsidR="003423EF">
        <w:tc>
          <w:tcPr>
            <w:tcW w:w="2592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VCG (multi-item)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O(2^N) — exponential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 (IR only)</w:t>
            </w:r>
          </w:p>
        </w:tc>
      </w:tr>
      <w:tr w:rsidR="003423EF">
        <w:tc>
          <w:tcPr>
            <w:tcW w:w="2592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McAfee Double Auc.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O(N log N)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No</w:t>
            </w:r>
          </w:p>
        </w:tc>
      </w:tr>
      <w:tr w:rsidR="003423EF">
        <w:tc>
          <w:tcPr>
            <w:tcW w:w="2592" w:type="dxa"/>
            <w:shd w:val="clear" w:color="auto" w:fill="EEF2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r>
              <w:rPr>
                <w:rFonts w:ascii="Calibri" w:hAnsi="Calibri"/>
                <w:b/>
                <w:color w:val="1A1A2E"/>
                <w:sz w:val="20"/>
              </w:rPr>
              <w:t>BDA (ours)</w:t>
            </w:r>
          </w:p>
        </w:tc>
        <w:tc>
          <w:tcPr>
            <w:tcW w:w="288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O(N log N)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  <w:tc>
          <w:tcPr>
            <w:tcW w:w="187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3423EF" w:rsidRDefault="00B955AA">
            <w:pPr>
              <w:jc w:val="center"/>
            </w:pPr>
            <w:r>
              <w:rPr>
                <w:rFonts w:ascii="Calibri" w:hAnsi="Calibri"/>
                <w:color w:val="1A1A2E"/>
                <w:sz w:val="20"/>
              </w:rPr>
              <w:t>Yes</w:t>
            </w:r>
          </w:p>
        </w:tc>
      </w:tr>
    </w:tbl>
    <w:p w:rsidR="003423EF" w:rsidRDefault="003423EF"/>
    <w:p w:rsidR="003423EF" w:rsidRDefault="003423EF"/>
    <w:p w:rsidR="003423EF" w:rsidRDefault="00B955AA">
      <w:pPr>
        <w:jc w:val="center"/>
      </w:pPr>
      <w:r>
        <w:rPr>
          <w:rFonts w:ascii="Calibri" w:hAnsi="Calibri"/>
          <w:i/>
          <w:color w:val="4A5A8A"/>
          <w:sz w:val="18"/>
        </w:rPr>
        <w:t>This document is confidential and intended solely for the named recipient. © 2025 FairBid Inc.. All rights reserved.</w:t>
      </w:r>
    </w:p>
    <w:sectPr w:rsidR="003423EF" w:rsidSect="00034616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23C0"/>
    <w:rsid w:val="0006063C"/>
    <w:rsid w:val="0015074B"/>
    <w:rsid w:val="00253C6B"/>
    <w:rsid w:val="0029639D"/>
    <w:rsid w:val="00310672"/>
    <w:rsid w:val="00326F90"/>
    <w:rsid w:val="003423EF"/>
    <w:rsid w:val="00486237"/>
    <w:rsid w:val="005F0545"/>
    <w:rsid w:val="00695F6A"/>
    <w:rsid w:val="00AA1D8D"/>
    <w:rsid w:val="00B47730"/>
    <w:rsid w:val="00B955AA"/>
    <w:rsid w:val="00CB0664"/>
    <w:rsid w:val="00DA6306"/>
    <w:rsid w:val="00F556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2F80B3F-F0D3-4E56-BBE5-843EAE9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380EEB-2B46-498A-97F0-49A3CBA1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DmitriyT</cp:lastModifiedBy>
  <cp:revision>2</cp:revision>
  <dcterms:created xsi:type="dcterms:W3CDTF">2026-04-28T12:50:00Z</dcterms:created>
  <dcterms:modified xsi:type="dcterms:W3CDTF">2026-04-28T12:50:00Z</dcterms:modified>
  <cp:category/>
</cp:coreProperties>
</file>